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C0" w:rsidRDefault="00E04BC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.6pt;margin-top:-18.45pt;width:2in;height:65.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" filled="f" stroked="f">
            <v:fill o:detectmouseclick="t"/>
            <v:textbox>
              <w:txbxContent>
                <w:p w:rsidR="00DF0C5B" w:rsidRPr="00BF2511" w:rsidRDefault="00DF0C5B" w:rsidP="00DF0C5B">
                  <w:pPr>
                    <w:spacing w:after="0" w:line="240" w:lineRule="auto"/>
                    <w:jc w:val="center"/>
                    <w:rPr>
                      <w:b/>
                      <w:color w:val="FF0000"/>
                      <w:spacing w:val="10"/>
                      <w:sz w:val="96"/>
                      <w:szCs w:val="110"/>
                    </w:rPr>
                  </w:pPr>
                  <w:r w:rsidRPr="00BF2511">
                    <w:rPr>
                      <w:b/>
                      <w:color w:val="FF0000"/>
                      <w:spacing w:val="10"/>
                      <w:sz w:val="96"/>
                      <w:szCs w:val="110"/>
                    </w:rPr>
                    <w:t>Родительская плата</w:t>
                  </w:r>
                </w:p>
              </w:txbxContent>
            </v:textbox>
          </v:shape>
        </w:pict>
      </w:r>
    </w:p>
    <w:p w:rsidR="00DF0C5B" w:rsidRDefault="00DF0C5B"/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5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="00AF0038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r>
        <w:rPr>
          <w:rFonts w:ascii="Georgia" w:hAnsi="Georgia"/>
          <w:sz w:val="24"/>
          <w:szCs w:val="24"/>
        </w:rPr>
        <w:t>.</w:t>
      </w:r>
      <w:r w:rsidR="00DF244A" w:rsidRPr="00BF2511">
        <w:rPr>
          <w:rFonts w:ascii="Georgia" w:hAnsi="Georgia"/>
          <w:sz w:val="24"/>
          <w:szCs w:val="24"/>
        </w:rPr>
        <w:t>(</w:t>
      </w:r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Pr="00BF2511">
        <w:rPr>
          <w:rFonts w:ascii="Georgia" w:hAnsi="Georgia"/>
          <w:sz w:val="24"/>
          <w:szCs w:val="24"/>
        </w:rPr>
        <w:t>рублей,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91,15</w:t>
      </w:r>
      <w:r w:rsidRPr="00BF2511">
        <w:rPr>
          <w:rFonts w:ascii="Georgia" w:hAnsi="Georgia"/>
          <w:sz w:val="24"/>
          <w:szCs w:val="24"/>
        </w:rPr>
        <w:t>рублей.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учетом выплаты компенсации части родительской платы, которая возвращается родителям, 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72,86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72,92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45,54 рублей,</w:t>
      </w:r>
      <w:bookmarkStart w:id="0" w:name="_GoBack"/>
      <w:bookmarkEnd w:id="0"/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45,58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1-го до 3-х лет – 27,32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>от 3-х до 7-ми лет – 27,35 рублей.</w:t>
      </w:r>
    </w:p>
    <w:p w:rsid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</w:p>
    <w:p w:rsidR="00DF0C5B" w:rsidRDefault="00DF0C5B" w:rsidP="00DE3D29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 w:rsidRPr="00DE3D29">
        <w:rPr>
          <w:rFonts w:ascii="Georgia" w:hAnsi="Georgia"/>
          <w:szCs w:val="24"/>
        </w:rPr>
        <w:t>(по данным на 1 января 2014 года)</w:t>
      </w:r>
    </w:p>
    <w:p w:rsidR="00DE3D29" w:rsidRPr="00CF77E4" w:rsidRDefault="00DE3D29" w:rsidP="00DE3D29">
      <w:pPr>
        <w:spacing w:after="0" w:line="240" w:lineRule="auto"/>
        <w:ind w:firstLine="425"/>
        <w:jc w:val="center"/>
        <w:rPr>
          <w:rFonts w:ascii="Georgia" w:hAnsi="Georgia"/>
          <w:szCs w:val="24"/>
          <w:u w:val="single"/>
        </w:rPr>
      </w:pPr>
    </w:p>
    <w:p w:rsidR="00DE3D29" w:rsidRDefault="00DE3D29" w:rsidP="00DE3D29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</w:p>
    <w:p w:rsidR="00DF0C5B" w:rsidRPr="004B7D2F" w:rsidRDefault="00DE3D29" w:rsidP="004B7D2F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F0C5B" w:rsidRPr="004B7D2F" w:rsidSect="00DF0C5B">
      <w:pgSz w:w="11906" w:h="16838"/>
      <w:pgMar w:top="1134" w:right="1134" w:bottom="1134" w:left="1134" w:header="709" w:footer="709" w:gutter="0"/>
      <w:pgBorders w:offsetFrom="page">
        <w:top w:val="decoBlocks" w:sz="20" w:space="24" w:color="C00000"/>
        <w:left w:val="decoBlocks" w:sz="20" w:space="24" w:color="C00000"/>
        <w:bottom w:val="decoBlocks" w:sz="20" w:space="24" w:color="C00000"/>
        <w:right w:val="decoBlocks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4ADF"/>
    <w:rsid w:val="004B7D2F"/>
    <w:rsid w:val="005376F2"/>
    <w:rsid w:val="00894ADF"/>
    <w:rsid w:val="008F7EC2"/>
    <w:rsid w:val="009D14C0"/>
    <w:rsid w:val="00AF0038"/>
    <w:rsid w:val="00B82A0B"/>
    <w:rsid w:val="00BF2511"/>
    <w:rsid w:val="00CF77E4"/>
    <w:rsid w:val="00DE3D29"/>
    <w:rsid w:val="00DF0C5B"/>
    <w:rsid w:val="00DF244A"/>
    <w:rsid w:val="00E0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gov.cap.ru/laws.aspx?gov_id=81&amp;id=171009&amp;size=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44"/>
      <c:perspective val="30"/>
    </c:view3D>
    <c:plotArea>
      <c:layout>
        <c:manualLayout>
          <c:layoutTarget val="inner"/>
          <c:xMode val="edge"/>
          <c:yMode val="edge"/>
          <c:x val="7.8972423115698465E-2"/>
          <c:y val="0.27397401684622058"/>
          <c:w val="0.8297176401183769"/>
          <c:h val="0.66445746869637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0066CC"/>
              </a:solidFill>
              <a:ln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8.2516280019578073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</c:dLbl>
            <c:dLbl>
              <c:idx val="1"/>
              <c:layout>
                <c:manualLayout>
                  <c:x val="1.058842460442864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Val val="1"/>
              <c:showCatName val="1"/>
            </c:dLbl>
            <c:dLbl>
              <c:idx val="2"/>
              <c:layout>
                <c:manualLayout>
                  <c:x val="5.6095820792182284E-4"/>
                  <c:y val="-0.23571947157238884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Val val="1"/>
              <c:showCatNam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4.5000000000000012E-2</c:v>
                </c:pt>
                <c:pt idx="2">
                  <c:v>3.2000000000000015E-2</c:v>
                </c:pt>
              </c:numCache>
            </c:numRef>
          </c:val>
        </c:ser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User</cp:lastModifiedBy>
  <cp:revision>7</cp:revision>
  <cp:lastPrinted>2014-05-14T06:56:00Z</cp:lastPrinted>
  <dcterms:created xsi:type="dcterms:W3CDTF">2014-05-14T05:46:00Z</dcterms:created>
  <dcterms:modified xsi:type="dcterms:W3CDTF">2014-05-14T16:50:00Z</dcterms:modified>
</cp:coreProperties>
</file>